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77777777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EKG holteru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698C3163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8A7B28" w:rsidRPr="008A7B28">
        <w:rPr>
          <w:rFonts w:ascii="Times New Roman" w:eastAsia="Times New Roman" w:hAnsi="Times New Roman" w:cs="Times New Roman"/>
          <w:b/>
          <w:sz w:val="28"/>
          <w:szCs w:val="28"/>
        </w:rPr>
        <w:t>BS 2024/13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77777777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CE5A16">
        <w:rPr>
          <w:rFonts w:eastAsia="Calibri"/>
        </w:rPr>
        <w:t>EKG holteru</w:t>
      </w:r>
      <w:r w:rsidR="00DC0CD7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77777777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CE5A16">
        <w:rPr>
          <w:rFonts w:eastAsia="Calibri"/>
          <w:b/>
        </w:rPr>
        <w:t>28</w:t>
      </w:r>
      <w:r w:rsidR="00774C64" w:rsidRPr="009A4256">
        <w:rPr>
          <w:rFonts w:eastAsia="Calibri"/>
          <w:b/>
        </w:rPr>
        <w:t xml:space="preserve">. </w:t>
      </w:r>
      <w:r w:rsidR="00DC0CD7">
        <w:rPr>
          <w:rFonts w:eastAsia="Calibri"/>
          <w:b/>
        </w:rPr>
        <w:t>marta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77777777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E5A1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EKG holteru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03B71204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8A7B28" w:rsidRPr="008A7B2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2024/13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22F38" w14:textId="77777777" w:rsidR="009254E7" w:rsidRDefault="009254E7">
      <w:pPr>
        <w:spacing w:after="0" w:line="240" w:lineRule="auto"/>
      </w:pPr>
      <w:r>
        <w:separator/>
      </w:r>
    </w:p>
  </w:endnote>
  <w:endnote w:type="continuationSeparator" w:id="0">
    <w:p w14:paraId="6631074E" w14:textId="77777777" w:rsidR="009254E7" w:rsidRDefault="0092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F0944" w14:textId="77777777" w:rsidR="009254E7" w:rsidRDefault="009254E7">
      <w:pPr>
        <w:spacing w:after="0" w:line="240" w:lineRule="auto"/>
      </w:pPr>
      <w:r>
        <w:separator/>
      </w:r>
    </w:p>
  </w:footnote>
  <w:footnote w:type="continuationSeparator" w:id="0">
    <w:p w14:paraId="6EE8FBF0" w14:textId="77777777" w:rsidR="009254E7" w:rsidRDefault="0092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301A5"/>
    <w:rsid w:val="00390457"/>
    <w:rsid w:val="003922FC"/>
    <w:rsid w:val="00397E91"/>
    <w:rsid w:val="003F3AA8"/>
    <w:rsid w:val="004F32C1"/>
    <w:rsid w:val="0053005B"/>
    <w:rsid w:val="00655FC5"/>
    <w:rsid w:val="006707F7"/>
    <w:rsid w:val="00726399"/>
    <w:rsid w:val="007676F7"/>
    <w:rsid w:val="00774C64"/>
    <w:rsid w:val="007B6AB1"/>
    <w:rsid w:val="007B6ABB"/>
    <w:rsid w:val="007D78A7"/>
    <w:rsid w:val="007E619B"/>
    <w:rsid w:val="007F30FE"/>
    <w:rsid w:val="00830EEC"/>
    <w:rsid w:val="00876E2F"/>
    <w:rsid w:val="008908C7"/>
    <w:rsid w:val="008A7B28"/>
    <w:rsid w:val="009254E7"/>
    <w:rsid w:val="00941F16"/>
    <w:rsid w:val="009A4256"/>
    <w:rsid w:val="009C0893"/>
    <w:rsid w:val="00A538D0"/>
    <w:rsid w:val="00AB43BE"/>
    <w:rsid w:val="00AB78CD"/>
    <w:rsid w:val="00B13B2E"/>
    <w:rsid w:val="00B31B7E"/>
    <w:rsid w:val="00BA09A6"/>
    <w:rsid w:val="00BA61AE"/>
    <w:rsid w:val="00C37421"/>
    <w:rsid w:val="00C83359"/>
    <w:rsid w:val="00C96D2C"/>
    <w:rsid w:val="00CC6343"/>
    <w:rsid w:val="00CE5A16"/>
    <w:rsid w:val="00D32D2D"/>
    <w:rsid w:val="00DC0CD7"/>
    <w:rsid w:val="00DD6F31"/>
    <w:rsid w:val="00DF2713"/>
    <w:rsid w:val="00E56C48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Lāsma Vindule</cp:lastModifiedBy>
  <cp:revision>3</cp:revision>
  <dcterms:created xsi:type="dcterms:W3CDTF">2024-03-27T05:40:00Z</dcterms:created>
  <dcterms:modified xsi:type="dcterms:W3CDTF">2024-03-27T12:32:00Z</dcterms:modified>
</cp:coreProperties>
</file>